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B20C0" w14:textId="0CF7528F" w:rsidR="00FC5537" w:rsidRDefault="00FC5537" w:rsidP="00A326B4">
      <w:pPr>
        <w:rPr>
          <w:b/>
          <w:sz w:val="28"/>
          <w:szCs w:val="28"/>
        </w:rPr>
      </w:pPr>
      <w:r w:rsidRPr="003E092E">
        <w:rPr>
          <w:b/>
          <w:noProof/>
          <w:sz w:val="28"/>
          <w:szCs w:val="28"/>
        </w:rPr>
        <w:drawing>
          <wp:inline distT="0" distB="0" distL="0" distR="0" wp14:anchorId="267C927B" wp14:editId="4FD6FDFB">
            <wp:extent cx="313499" cy="315589"/>
            <wp:effectExtent l="0" t="0" r="0" b="889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9938" cy="332138"/>
                    </a:xfrm>
                    <a:prstGeom prst="rect">
                      <a:avLst/>
                    </a:prstGeom>
                  </pic:spPr>
                </pic:pic>
              </a:graphicData>
            </a:graphic>
          </wp:inline>
        </w:drawing>
      </w:r>
    </w:p>
    <w:p w14:paraId="0726F099" w14:textId="65F30BFF" w:rsidR="00A326B4" w:rsidRPr="00A326B4" w:rsidRDefault="00A326B4" w:rsidP="004558B0">
      <w:pPr>
        <w:ind w:right="272"/>
        <w:rPr>
          <w:bCs/>
          <w:sz w:val="24"/>
          <w:szCs w:val="24"/>
          <w:u w:val="single"/>
        </w:rPr>
      </w:pPr>
      <w:r w:rsidRPr="00A326B4">
        <w:rPr>
          <w:bCs/>
          <w:sz w:val="24"/>
          <w:szCs w:val="24"/>
          <w:u w:val="single"/>
        </w:rPr>
        <w:t>Mountain Training England Safeguarding Children, Young People and Adults Policy Appendices</w:t>
      </w:r>
    </w:p>
    <w:p w14:paraId="61F39264" w14:textId="69DC9B6D" w:rsidR="003A750C" w:rsidRPr="00A326B4" w:rsidRDefault="00187D4C" w:rsidP="004558B0">
      <w:pPr>
        <w:spacing w:after="160"/>
        <w:ind w:right="272"/>
        <w:rPr>
          <w:b/>
          <w:bCs/>
          <w:sz w:val="24"/>
          <w:szCs w:val="24"/>
        </w:rPr>
      </w:pPr>
      <w:r w:rsidRPr="00A326B4">
        <w:rPr>
          <w:b/>
          <w:bCs/>
          <w:sz w:val="24"/>
          <w:szCs w:val="24"/>
        </w:rPr>
        <w:t>Appendix A</w:t>
      </w:r>
    </w:p>
    <w:p w14:paraId="7E234BFB" w14:textId="77777777" w:rsidR="007115ED" w:rsidRPr="003E092E" w:rsidRDefault="007115ED" w:rsidP="004558B0">
      <w:pPr>
        <w:spacing w:after="160"/>
        <w:ind w:right="272"/>
        <w:rPr>
          <w:b/>
          <w:bCs/>
        </w:rPr>
      </w:pPr>
      <w:r w:rsidRPr="003E092E">
        <w:rPr>
          <w:b/>
          <w:bCs/>
        </w:rPr>
        <w:t>Mountain Training Safeguarding Lead</w:t>
      </w:r>
    </w:p>
    <w:p w14:paraId="2B26DC03" w14:textId="6BBB10DC" w:rsidR="007115ED" w:rsidRPr="003E092E" w:rsidRDefault="007115ED" w:rsidP="004558B0">
      <w:pPr>
        <w:spacing w:after="160"/>
        <w:ind w:right="272"/>
      </w:pPr>
      <w:r w:rsidRPr="003E092E">
        <w:t xml:space="preserve">The Designated Safeguarding Lead for MTE is </w:t>
      </w:r>
      <w:r w:rsidRPr="003E092E">
        <w:rPr>
          <w:b/>
          <w:bCs/>
        </w:rPr>
        <w:t>Cath Luke</w:t>
      </w:r>
      <w:r w:rsidRPr="003E092E">
        <w:t>. Her role is to ensure that this policy is regularly updated; communicated to all staff, volunteers, and partner organisations; and to be the person that providers contact if there has been a safeguarding concern. (See Appendix D)</w:t>
      </w:r>
    </w:p>
    <w:p w14:paraId="06609AAE" w14:textId="7ECA7F54" w:rsidR="00A326B4" w:rsidRDefault="007115ED" w:rsidP="004558B0">
      <w:pPr>
        <w:spacing w:after="160"/>
        <w:ind w:right="272"/>
        <w:rPr>
          <w:b/>
          <w:bCs/>
        </w:rPr>
      </w:pPr>
      <w:r w:rsidRPr="003E092E">
        <w:t>Concerns may also be reported to Guy Jarvis, Executive Officer MTE.</w:t>
      </w:r>
    </w:p>
    <w:p w14:paraId="726CB0AC" w14:textId="45270E69" w:rsidR="007115ED" w:rsidRPr="00A326B4" w:rsidRDefault="007115ED" w:rsidP="004558B0">
      <w:pPr>
        <w:spacing w:after="160"/>
        <w:ind w:right="272"/>
        <w:rPr>
          <w:b/>
          <w:bCs/>
          <w:sz w:val="24"/>
          <w:szCs w:val="24"/>
        </w:rPr>
      </w:pPr>
      <w:r w:rsidRPr="00A326B4">
        <w:rPr>
          <w:b/>
          <w:bCs/>
          <w:sz w:val="24"/>
          <w:szCs w:val="24"/>
        </w:rPr>
        <w:t>Appendix B</w:t>
      </w:r>
    </w:p>
    <w:p w14:paraId="2CDED408" w14:textId="5CF37C6A" w:rsidR="00187D4C" w:rsidRPr="003E092E" w:rsidRDefault="00187D4C" w:rsidP="004558B0">
      <w:pPr>
        <w:widowControl w:val="0"/>
        <w:autoSpaceDE w:val="0"/>
        <w:autoSpaceDN w:val="0"/>
        <w:spacing w:after="0"/>
        <w:ind w:right="272"/>
        <w:rPr>
          <w:rFonts w:cstheme="minorHAnsi"/>
          <w:b/>
        </w:rPr>
      </w:pPr>
      <w:r w:rsidRPr="003E092E">
        <w:rPr>
          <w:rFonts w:cstheme="minorHAnsi"/>
          <w:b/>
        </w:rPr>
        <w:t>Adult Safeguarding - Types of abuse and neglect described in the Care Act 2014</w:t>
      </w:r>
    </w:p>
    <w:p w14:paraId="7B7913E4" w14:textId="77777777" w:rsidR="00187D4C" w:rsidRPr="003E092E" w:rsidRDefault="00187D4C" w:rsidP="004558B0">
      <w:pPr>
        <w:widowControl w:val="0"/>
        <w:autoSpaceDE w:val="0"/>
        <w:autoSpaceDN w:val="0"/>
        <w:spacing w:after="0"/>
        <w:ind w:right="272"/>
        <w:rPr>
          <w:rFonts w:cstheme="minorHAnsi"/>
          <w:b/>
        </w:rPr>
      </w:pPr>
    </w:p>
    <w:p w14:paraId="6EFCFBA0" w14:textId="77777777" w:rsidR="00187D4C" w:rsidRPr="003E092E" w:rsidRDefault="00187D4C" w:rsidP="004558B0">
      <w:pPr>
        <w:spacing w:after="0"/>
        <w:ind w:right="272"/>
        <w:rPr>
          <w:rFonts w:cstheme="minorHAnsi"/>
        </w:rPr>
      </w:pPr>
      <w:r w:rsidRPr="003E092E">
        <w:rPr>
          <w:rFonts w:cstheme="minorHAnsi"/>
        </w:rPr>
        <w:t>This is not intended to be an exhaustive list but an illustrative guide as to the sort of behaviour or issue which could give rise to a safeguarding concern. The following definitions are taken from the Care Act 2014.</w:t>
      </w:r>
    </w:p>
    <w:p w14:paraId="7A4E153E" w14:textId="77777777" w:rsidR="00187D4C" w:rsidRPr="003E092E" w:rsidRDefault="00187D4C" w:rsidP="004558B0">
      <w:pPr>
        <w:spacing w:after="0"/>
        <w:ind w:right="272"/>
        <w:rPr>
          <w:rFonts w:cstheme="minorHAnsi"/>
        </w:rPr>
      </w:pPr>
    </w:p>
    <w:p w14:paraId="2091EFED"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Self-neglect:</w:t>
      </w:r>
      <w:r w:rsidRPr="003E092E">
        <w:rPr>
          <w:rFonts w:ascii="Calibri"/>
          <w:sz w:val="22"/>
          <w:szCs w:val="22"/>
        </w:rPr>
        <w:t xml:space="preserve"> covers a wide range of behaviour: neglecting to care for one</w:t>
      </w:r>
      <w:r w:rsidRPr="003E092E">
        <w:rPr>
          <w:rFonts w:ascii="Calibri"/>
          <w:sz w:val="22"/>
          <w:szCs w:val="22"/>
        </w:rPr>
        <w:t>’</w:t>
      </w:r>
      <w:r w:rsidRPr="003E092E">
        <w:rPr>
          <w:rFonts w:ascii="Calibri"/>
          <w:sz w:val="22"/>
          <w:szCs w:val="22"/>
        </w:rPr>
        <w:t xml:space="preserve">s personal hygiene, </w:t>
      </w:r>
      <w:proofErr w:type="gramStart"/>
      <w:r w:rsidRPr="003E092E">
        <w:rPr>
          <w:rFonts w:ascii="Calibri"/>
          <w:sz w:val="22"/>
          <w:szCs w:val="22"/>
        </w:rPr>
        <w:t>health</w:t>
      </w:r>
      <w:proofErr w:type="gramEnd"/>
      <w:r w:rsidRPr="003E092E">
        <w:rPr>
          <w:rFonts w:ascii="Calibri"/>
          <w:sz w:val="22"/>
          <w:szCs w:val="22"/>
        </w:rPr>
        <w:t xml:space="preserve"> or surroundings, and includes behaviour such as hoarding. This could be an adult whose appearance becomes unkempt, does not wear suitable kit, shows deterioration in </w:t>
      </w:r>
      <w:proofErr w:type="gramStart"/>
      <w:r w:rsidRPr="003E092E">
        <w:rPr>
          <w:rFonts w:ascii="Calibri"/>
          <w:sz w:val="22"/>
          <w:szCs w:val="22"/>
        </w:rPr>
        <w:t>hygiene</w:t>
      </w:r>
      <w:proofErr w:type="gramEnd"/>
      <w:r w:rsidRPr="003E092E">
        <w:rPr>
          <w:rFonts w:ascii="Calibri"/>
          <w:sz w:val="22"/>
          <w:szCs w:val="22"/>
        </w:rPr>
        <w:t xml:space="preserve"> or doesn't care about themselves.</w:t>
      </w:r>
    </w:p>
    <w:p w14:paraId="19AE0914"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Modern slavery:</w:t>
      </w:r>
      <w:r w:rsidRPr="003E092E">
        <w:rPr>
          <w:rFonts w:ascii="Calibri"/>
          <w:sz w:val="22"/>
          <w:szCs w:val="22"/>
        </w:rPr>
        <w:t xml:space="preserve"> encompasses slavery, human trafficking, forced labour and domestic servitude. Traffickers and slave masters use whatever means they have at their disposal to coerce, </w:t>
      </w:r>
      <w:proofErr w:type="gramStart"/>
      <w:r w:rsidRPr="003E092E">
        <w:rPr>
          <w:rFonts w:ascii="Calibri"/>
          <w:sz w:val="22"/>
          <w:szCs w:val="22"/>
        </w:rPr>
        <w:t>deceive</w:t>
      </w:r>
      <w:proofErr w:type="gramEnd"/>
      <w:r w:rsidRPr="003E092E">
        <w:rPr>
          <w:rFonts w:ascii="Calibri"/>
          <w:sz w:val="22"/>
          <w:szCs w:val="22"/>
        </w:rPr>
        <w:t xml:space="preserve"> and force individuals into a life of abuse, servitude and inhumane treatment.</w:t>
      </w:r>
    </w:p>
    <w:p w14:paraId="449EFDA9"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Domestic abuse:</w:t>
      </w:r>
      <w:r w:rsidRPr="003E092E">
        <w:rPr>
          <w:rFonts w:ascii="Calibri"/>
          <w:sz w:val="22"/>
          <w:szCs w:val="22"/>
        </w:rPr>
        <w:t xml:space="preserve"> includes psychological, physical, sexual, </w:t>
      </w:r>
      <w:proofErr w:type="gramStart"/>
      <w:r w:rsidRPr="003E092E">
        <w:rPr>
          <w:rFonts w:ascii="Calibri"/>
          <w:sz w:val="22"/>
          <w:szCs w:val="22"/>
        </w:rPr>
        <w:t>financial</w:t>
      </w:r>
      <w:proofErr w:type="gramEnd"/>
      <w:r w:rsidRPr="003E092E">
        <w:rPr>
          <w:rFonts w:ascii="Calibri"/>
          <w:sz w:val="22"/>
          <w:szCs w:val="22"/>
        </w:rPr>
        <w:t xml:space="preserve"> and emotional abuse. It also includes so called 'honour' based violence. Sport participants may notice a power imbalance between a participant and a family member. For example, a participant may be looking quiet and withdrawn when one person comes to collect them from sessions, in contrast to another person whom they greet with a smile.</w:t>
      </w:r>
    </w:p>
    <w:p w14:paraId="22761B7B"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Discriminatory:</w:t>
      </w:r>
      <w:r w:rsidRPr="003E092E">
        <w:rPr>
          <w:rFonts w:ascii="Calibri"/>
          <w:sz w:val="22"/>
          <w:szCs w:val="22"/>
        </w:rPr>
        <w:t xml:space="preserve"> discrimination is </w:t>
      </w:r>
      <w:proofErr w:type="gramStart"/>
      <w:r w:rsidRPr="003E092E">
        <w:rPr>
          <w:rFonts w:asciiTheme="minorHAnsi" w:hAnsiTheme="minorHAnsi" w:cstheme="minorHAnsi"/>
          <w:sz w:val="22"/>
          <w:szCs w:val="22"/>
        </w:rPr>
        <w:t>abuse</w:t>
      </w:r>
      <w:proofErr w:type="gramEnd"/>
      <w:r w:rsidRPr="003E092E">
        <w:rPr>
          <w:rFonts w:asciiTheme="minorHAnsi" w:hAnsiTheme="minorHAnsi" w:cstheme="minorHAnsi"/>
          <w:sz w:val="22"/>
          <w:szCs w:val="22"/>
        </w:rPr>
        <w:t xml:space="preserve"> which centres on a difference or perceived difference particularly with respect to race, gender or disability or any of the protected characteristics of the Equality Act. This could be the harassing of a course participant member because they are or are perceived to be different in some way.</w:t>
      </w:r>
    </w:p>
    <w:p w14:paraId="2809046B" w14:textId="15892E10"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Organisational abuse:</w:t>
      </w:r>
      <w:r w:rsidRPr="003E092E">
        <w:rPr>
          <w:rFonts w:ascii="Calibri"/>
          <w:sz w:val="22"/>
          <w:szCs w:val="22"/>
        </w:rPr>
        <w:t xml:space="preserve"> includes neglect and poor care practice within an institution or setting such as a </w:t>
      </w:r>
      <w:r w:rsidRPr="003E092E">
        <w:rPr>
          <w:rFonts w:asciiTheme="minorHAnsi" w:hAnsiTheme="minorHAnsi" w:cstheme="minorHAnsi"/>
          <w:sz w:val="22"/>
          <w:szCs w:val="22"/>
        </w:rPr>
        <w:t>club for people with learning disabilities or</w:t>
      </w:r>
      <w:r w:rsidRPr="003E092E">
        <w:rPr>
          <w:sz w:val="22"/>
          <w:szCs w:val="22"/>
        </w:rPr>
        <w:t xml:space="preserve"> a </w:t>
      </w:r>
      <w:r w:rsidRPr="003E092E">
        <w:rPr>
          <w:rFonts w:ascii="Calibri"/>
          <w:sz w:val="22"/>
          <w:szCs w:val="22"/>
        </w:rPr>
        <w:t xml:space="preserve">military training institution, for example, or in relation to groups from a college or training organisation. This may range from one-off </w:t>
      </w:r>
      <w:r w:rsidR="008246AC" w:rsidRPr="003E092E">
        <w:rPr>
          <w:rFonts w:ascii="Calibri"/>
          <w:sz w:val="22"/>
          <w:szCs w:val="22"/>
        </w:rPr>
        <w:t>concerns</w:t>
      </w:r>
      <w:r w:rsidRPr="003E092E">
        <w:rPr>
          <w:rFonts w:ascii="Calibri"/>
          <w:sz w:val="22"/>
          <w:szCs w:val="22"/>
        </w:rPr>
        <w:t xml:space="preserve"> to ongoing ill-treatment. It can be through neglect or poor professional practice </w:t>
      </w:r>
      <w:proofErr w:type="gramStart"/>
      <w:r w:rsidRPr="003E092E">
        <w:rPr>
          <w:rFonts w:ascii="Calibri"/>
          <w:sz w:val="22"/>
          <w:szCs w:val="22"/>
        </w:rPr>
        <w:t>as a result of</w:t>
      </w:r>
      <w:proofErr w:type="gramEnd"/>
      <w:r w:rsidRPr="003E092E">
        <w:rPr>
          <w:rFonts w:ascii="Calibri"/>
          <w:sz w:val="22"/>
          <w:szCs w:val="22"/>
        </w:rPr>
        <w:t xml:space="preserve"> the structure, policies, processes and practices within an organisation. In </w:t>
      </w:r>
    </w:p>
    <w:p w14:paraId="7CFB4254"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Physical abuse:</w:t>
      </w:r>
      <w:r w:rsidRPr="003E092E">
        <w:rPr>
          <w:rFonts w:ascii="Calibri"/>
          <w:sz w:val="22"/>
          <w:szCs w:val="22"/>
        </w:rPr>
        <w:t xml:space="preserve"> includes, for example, hitting, pushing, </w:t>
      </w:r>
      <w:proofErr w:type="gramStart"/>
      <w:r w:rsidRPr="003E092E">
        <w:rPr>
          <w:rFonts w:ascii="Calibri"/>
          <w:sz w:val="22"/>
          <w:szCs w:val="22"/>
        </w:rPr>
        <w:t>slapping</w:t>
      </w:r>
      <w:proofErr w:type="gramEnd"/>
      <w:r w:rsidRPr="003E092E">
        <w:rPr>
          <w:rFonts w:ascii="Calibri"/>
          <w:sz w:val="22"/>
          <w:szCs w:val="22"/>
        </w:rPr>
        <w:t xml:space="preserve"> or punching an individual, and the inappropriate use of medication, restraint or inappropriate sanctions.</w:t>
      </w:r>
    </w:p>
    <w:p w14:paraId="4E2C78F7"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Sexual abuse:</w:t>
      </w:r>
      <w:r w:rsidRPr="003E092E">
        <w:rPr>
          <w:rFonts w:ascii="Calibri"/>
          <w:sz w:val="22"/>
          <w:szCs w:val="22"/>
        </w:rPr>
        <w:t xml:space="preserve"> includes rape, sexual assault or harassment, indecent exposure, sexual grooming or coercion, inappropriate looking or touching, sexual teasing or innuendo, sexual photography, subjection to pornography or witnessing sexual acts, indecent exposure and sexual assault or sexual acts to which the adult has not consented or was pressured into consenting, e.g. a mentor who puts pressure on a person to be more "friendly" than they are comfortable with, in order to maintain a good relationship.</w:t>
      </w:r>
    </w:p>
    <w:p w14:paraId="1B297DAA" w14:textId="77777777" w:rsidR="00187D4C" w:rsidRPr="003E092E" w:rsidRDefault="00187D4C" w:rsidP="004558B0">
      <w:pPr>
        <w:pStyle w:val="BodyText"/>
        <w:numPr>
          <w:ilvl w:val="0"/>
          <w:numId w:val="12"/>
        </w:numPr>
        <w:spacing w:line="276" w:lineRule="auto"/>
        <w:ind w:right="272"/>
        <w:rPr>
          <w:rFonts w:asciiTheme="minorHAnsi" w:hAnsiTheme="minorHAnsi" w:cstheme="minorHAnsi"/>
          <w:sz w:val="22"/>
          <w:szCs w:val="22"/>
        </w:rPr>
      </w:pPr>
      <w:r w:rsidRPr="003E092E">
        <w:rPr>
          <w:rFonts w:asciiTheme="minorHAnsi" w:hAnsiTheme="minorHAnsi" w:cstheme="minorHAnsi"/>
          <w:b/>
          <w:sz w:val="22"/>
          <w:szCs w:val="22"/>
        </w:rPr>
        <w:t xml:space="preserve">Financial or material </w:t>
      </w:r>
      <w:proofErr w:type="gramStart"/>
      <w:r w:rsidRPr="003E092E">
        <w:rPr>
          <w:rFonts w:asciiTheme="minorHAnsi" w:hAnsiTheme="minorHAnsi" w:cstheme="minorHAnsi"/>
          <w:b/>
          <w:sz w:val="22"/>
          <w:szCs w:val="22"/>
        </w:rPr>
        <w:t>abuse:</w:t>
      </w:r>
      <w:proofErr w:type="gramEnd"/>
      <w:r w:rsidRPr="003E092E">
        <w:rPr>
          <w:rFonts w:asciiTheme="minorHAnsi" w:hAnsiTheme="minorHAnsi" w:cstheme="minorHAnsi"/>
          <w:sz w:val="22"/>
          <w:szCs w:val="22"/>
        </w:rPr>
        <w:t xml:space="preserve"> includes theft, fraud, internet scamming, coercion in relation to an adult’s financial affairs or arrangements, including in connection with wills, property, inheritance or financial transactions, or the misuse or misappropriation of property, possessions or benefits. This could be someone taking equipment from a participant or asking them to pay for extra training.</w:t>
      </w:r>
    </w:p>
    <w:p w14:paraId="21C6A5BF"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lastRenderedPageBreak/>
        <w:t>Neglect:</w:t>
      </w:r>
      <w:r w:rsidRPr="003E092E">
        <w:rPr>
          <w:rFonts w:ascii="Calibri"/>
          <w:sz w:val="22"/>
          <w:szCs w:val="22"/>
        </w:rPr>
        <w:t xml:space="preserve"> includes ignoring medical or physical care needs, failure to provide access to appropriate health social care or educational services, the withholding of the necessities of life, such as medication, adequate </w:t>
      </w:r>
      <w:proofErr w:type="gramStart"/>
      <w:r w:rsidRPr="003E092E">
        <w:rPr>
          <w:rFonts w:ascii="Calibri"/>
          <w:sz w:val="22"/>
          <w:szCs w:val="22"/>
        </w:rPr>
        <w:t>nutrition</w:t>
      </w:r>
      <w:proofErr w:type="gramEnd"/>
      <w:r w:rsidRPr="003E092E">
        <w:rPr>
          <w:rFonts w:ascii="Calibri"/>
          <w:sz w:val="22"/>
          <w:szCs w:val="22"/>
        </w:rPr>
        <w:t xml:space="preserve"> and heating.</w:t>
      </w:r>
    </w:p>
    <w:p w14:paraId="5CD152B2"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Emotional or Psychological abuse:</w:t>
      </w:r>
      <w:r w:rsidRPr="003E092E">
        <w:rPr>
          <w:rFonts w:ascii="Calibri"/>
          <w:sz w:val="22"/>
          <w:szCs w:val="22"/>
        </w:rPr>
        <w:t xml:space="preserve"> includes </w:t>
      </w:r>
      <w:r w:rsidRPr="003E092E">
        <w:rPr>
          <w:rFonts w:asciiTheme="minorHAnsi" w:hAnsiTheme="minorHAnsi" w:cstheme="minorHAnsi"/>
          <w:sz w:val="22"/>
          <w:szCs w:val="22"/>
        </w:rPr>
        <w:t>threats of harm or abandonment, deprivation of contact, humiliation, blaming, controlling, intimidation, coercion, harassment, verbal abuse, isolation or withdrawal from services or supportive networks.</w:t>
      </w:r>
    </w:p>
    <w:p w14:paraId="655E6D59" w14:textId="77777777" w:rsidR="00187D4C" w:rsidRPr="003E092E" w:rsidRDefault="00187D4C" w:rsidP="004558B0">
      <w:pPr>
        <w:pStyle w:val="ListParagraph"/>
        <w:spacing w:after="0"/>
        <w:ind w:right="272"/>
      </w:pPr>
    </w:p>
    <w:p w14:paraId="7295E4BE" w14:textId="77777777" w:rsidR="00187D4C" w:rsidRPr="003E092E" w:rsidRDefault="00187D4C" w:rsidP="004558B0">
      <w:pPr>
        <w:tabs>
          <w:tab w:val="left" w:pos="2120"/>
          <w:tab w:val="left" w:pos="2121"/>
        </w:tabs>
        <w:spacing w:after="0"/>
        <w:ind w:right="272"/>
      </w:pPr>
      <w:r w:rsidRPr="003E092E">
        <w:t>Not included in the Care Act 2014 but also</w:t>
      </w:r>
      <w:r w:rsidRPr="003E092E">
        <w:rPr>
          <w:spacing w:val="7"/>
        </w:rPr>
        <w:t xml:space="preserve"> </w:t>
      </w:r>
      <w:r w:rsidRPr="003E092E">
        <w:t>relevant:</w:t>
      </w:r>
    </w:p>
    <w:p w14:paraId="7B753F10" w14:textId="77777777" w:rsidR="00187D4C" w:rsidRPr="003E092E" w:rsidRDefault="00187D4C" w:rsidP="004558B0">
      <w:pPr>
        <w:pStyle w:val="BodyText"/>
        <w:spacing w:line="276" w:lineRule="auto"/>
        <w:ind w:right="272"/>
        <w:rPr>
          <w:sz w:val="22"/>
          <w:szCs w:val="22"/>
        </w:rPr>
      </w:pPr>
    </w:p>
    <w:p w14:paraId="5C013455"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Cyber bullying:</w:t>
      </w:r>
      <w:r w:rsidRPr="003E092E">
        <w:rPr>
          <w:rFonts w:ascii="Calibri"/>
          <w:sz w:val="22"/>
          <w:szCs w:val="22"/>
        </w:rPr>
        <w:t xml:space="preserve"> occurs when someone repeatedly makes fun of another person online or repeatedly picks </w:t>
      </w:r>
      <w:r w:rsidRPr="003E092E">
        <w:rPr>
          <w:rFonts w:asciiTheme="minorHAnsi" w:hAnsiTheme="minorHAnsi" w:cstheme="minorHAnsi"/>
          <w:sz w:val="22"/>
          <w:szCs w:val="22"/>
        </w:rPr>
        <w:t xml:space="preserve">on another person through emails or text messages, or uses online forums with the intention of harming, damaging, </w:t>
      </w:r>
      <w:proofErr w:type="gramStart"/>
      <w:r w:rsidRPr="003E092E">
        <w:rPr>
          <w:rFonts w:asciiTheme="minorHAnsi" w:hAnsiTheme="minorHAnsi" w:cstheme="minorHAnsi"/>
          <w:sz w:val="22"/>
          <w:szCs w:val="22"/>
        </w:rPr>
        <w:t>humiliating</w:t>
      </w:r>
      <w:proofErr w:type="gramEnd"/>
      <w:r w:rsidRPr="003E092E">
        <w:rPr>
          <w:rFonts w:asciiTheme="minorHAnsi" w:hAnsiTheme="minorHAnsi" w:cstheme="minorHAnsi"/>
          <w:sz w:val="22"/>
          <w:szCs w:val="22"/>
        </w:rPr>
        <w:t xml:space="preserve">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w:t>
      </w:r>
    </w:p>
    <w:p w14:paraId="354193E5" w14:textId="77777777" w:rsidR="00187D4C" w:rsidRPr="003E092E" w:rsidRDefault="00187D4C" w:rsidP="004558B0">
      <w:pPr>
        <w:pStyle w:val="BodyText"/>
        <w:numPr>
          <w:ilvl w:val="0"/>
          <w:numId w:val="12"/>
        </w:numPr>
        <w:spacing w:line="276" w:lineRule="auto"/>
        <w:ind w:right="272"/>
        <w:rPr>
          <w:rFonts w:ascii="Calibri"/>
          <w:sz w:val="22"/>
          <w:szCs w:val="22"/>
        </w:rPr>
      </w:pPr>
      <w:r w:rsidRPr="003E092E">
        <w:rPr>
          <w:rFonts w:ascii="Calibri"/>
          <w:b/>
          <w:sz w:val="22"/>
          <w:szCs w:val="22"/>
        </w:rPr>
        <w:t xml:space="preserve">Forced </w:t>
      </w:r>
      <w:proofErr w:type="gramStart"/>
      <w:r w:rsidRPr="003E092E">
        <w:rPr>
          <w:rFonts w:ascii="Calibri"/>
          <w:b/>
          <w:sz w:val="22"/>
          <w:szCs w:val="22"/>
        </w:rPr>
        <w:t>marriage:</w:t>
      </w:r>
      <w:proofErr w:type="gramEnd"/>
      <w:r w:rsidRPr="003E092E">
        <w:rPr>
          <w:rFonts w:ascii="Calibri"/>
          <w:sz w:val="22"/>
          <w:szCs w:val="22"/>
        </w:rPr>
        <w:t xml:space="preserve"> is a term used to describe a marriage in which one or both of the parties are married </w:t>
      </w:r>
      <w:r w:rsidRPr="003E092E">
        <w:rPr>
          <w:rFonts w:asciiTheme="minorHAnsi" w:hAnsiTheme="minorHAnsi" w:cstheme="minorHAnsi"/>
          <w:sz w:val="22"/>
          <w:szCs w:val="22"/>
        </w:rPr>
        <w:t>without their consent or against their will. A forced marriage differs from an arranged marriage, in which both parties consent to the assistance of a third party in identifying a spouse. The Anti-social Behaviour, Crime and Policing Act 2014 makes it a criminal offence to force someone to marry.</w:t>
      </w:r>
    </w:p>
    <w:p w14:paraId="2FD38B10" w14:textId="77777777" w:rsidR="00187D4C" w:rsidRPr="003E092E" w:rsidRDefault="00187D4C" w:rsidP="004558B0">
      <w:pPr>
        <w:pStyle w:val="BodyText"/>
        <w:numPr>
          <w:ilvl w:val="0"/>
          <w:numId w:val="12"/>
        </w:numPr>
        <w:spacing w:line="276" w:lineRule="auto"/>
        <w:ind w:right="272"/>
        <w:rPr>
          <w:rFonts w:asciiTheme="minorHAnsi" w:hAnsiTheme="minorHAnsi" w:cstheme="minorHAnsi"/>
          <w:sz w:val="22"/>
          <w:szCs w:val="22"/>
        </w:rPr>
      </w:pPr>
      <w:r w:rsidRPr="003E092E">
        <w:rPr>
          <w:rFonts w:asciiTheme="minorHAnsi" w:hAnsiTheme="minorHAnsi" w:cstheme="minorHAnsi"/>
          <w:b/>
          <w:sz w:val="22"/>
          <w:szCs w:val="22"/>
        </w:rPr>
        <w:t>Mate crime:</w:t>
      </w:r>
      <w:r w:rsidRPr="003E092E">
        <w:rPr>
          <w:rFonts w:asciiTheme="minorHAnsi" w:hAnsiTheme="minorHAnsi" w:cstheme="minorHAnsi"/>
          <w:sz w:val="22"/>
          <w:szCs w:val="22"/>
        </w:rPr>
        <w:t xml:space="preserv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14:paraId="618ABA9B" w14:textId="77777777" w:rsidR="00187D4C" w:rsidRPr="003E092E" w:rsidRDefault="00187D4C" w:rsidP="004558B0">
      <w:pPr>
        <w:pStyle w:val="BodyText"/>
        <w:numPr>
          <w:ilvl w:val="0"/>
          <w:numId w:val="12"/>
        </w:numPr>
        <w:spacing w:line="276" w:lineRule="auto"/>
        <w:ind w:right="272"/>
        <w:rPr>
          <w:rFonts w:ascii="Calibri"/>
          <w:sz w:val="24"/>
          <w:szCs w:val="24"/>
        </w:rPr>
      </w:pPr>
      <w:r w:rsidRPr="003E092E">
        <w:rPr>
          <w:rFonts w:ascii="Calibri"/>
          <w:b/>
          <w:sz w:val="22"/>
          <w:szCs w:val="22"/>
        </w:rPr>
        <w:t>Radicalisation;</w:t>
      </w:r>
      <w:r w:rsidRPr="003E092E">
        <w:rPr>
          <w:rFonts w:ascii="Calibri"/>
          <w:sz w:val="22"/>
          <w:szCs w:val="22"/>
        </w:rPr>
        <w:t xml:space="preserve"> the aim of radicalisation is to attract people to their reasoning, inspire new recruits and embed their extreme views and persuade individuals of the legitimacy of their cause. This may be direct through a relationship, or through social media.</w:t>
      </w:r>
      <w:r w:rsidRPr="003E092E">
        <w:rPr>
          <w:sz w:val="22"/>
          <w:szCs w:val="22"/>
        </w:rPr>
        <w:br/>
      </w:r>
    </w:p>
    <w:p w14:paraId="6ED1E486" w14:textId="77777777" w:rsidR="00A326B4" w:rsidRPr="00A326B4" w:rsidRDefault="00962405" w:rsidP="004558B0">
      <w:pPr>
        <w:spacing w:after="160"/>
        <w:ind w:right="272"/>
        <w:rPr>
          <w:b/>
          <w:bCs/>
          <w:sz w:val="24"/>
          <w:szCs w:val="24"/>
        </w:rPr>
      </w:pPr>
      <w:r w:rsidRPr="00A326B4">
        <w:rPr>
          <w:b/>
          <w:bCs/>
          <w:sz w:val="24"/>
          <w:szCs w:val="24"/>
        </w:rPr>
        <w:t xml:space="preserve">Appendix </w:t>
      </w:r>
      <w:r w:rsidR="007115ED" w:rsidRPr="00A326B4">
        <w:rPr>
          <w:b/>
          <w:bCs/>
          <w:sz w:val="24"/>
          <w:szCs w:val="24"/>
        </w:rPr>
        <w:t>C</w:t>
      </w:r>
      <w:r w:rsidRPr="00A326B4">
        <w:rPr>
          <w:b/>
          <w:bCs/>
          <w:sz w:val="24"/>
          <w:szCs w:val="24"/>
        </w:rPr>
        <w:t xml:space="preserve"> </w:t>
      </w:r>
    </w:p>
    <w:p w14:paraId="58BEDADA" w14:textId="13002B89" w:rsidR="00187D4C" w:rsidRPr="00561B0C" w:rsidRDefault="00561B0C" w:rsidP="004558B0">
      <w:pPr>
        <w:spacing w:after="160"/>
        <w:ind w:right="272"/>
        <w:rPr>
          <w:b/>
          <w:bCs/>
        </w:rPr>
      </w:pPr>
      <w:r>
        <w:rPr>
          <w:b/>
          <w:bCs/>
        </w:rPr>
        <w:t>Addition</w:t>
      </w:r>
      <w:r w:rsidR="00817B1B">
        <w:rPr>
          <w:b/>
          <w:bCs/>
        </w:rPr>
        <w:t>al</w:t>
      </w:r>
      <w:r>
        <w:rPr>
          <w:b/>
          <w:bCs/>
        </w:rPr>
        <w:t xml:space="preserve"> Guidance</w:t>
      </w:r>
    </w:p>
    <w:p w14:paraId="4B9DDD85" w14:textId="77777777" w:rsidR="00805BAA" w:rsidRPr="00A326B4" w:rsidRDefault="00805BAA" w:rsidP="004558B0">
      <w:pPr>
        <w:ind w:right="272"/>
        <w:rPr>
          <w:b/>
          <w:bCs/>
          <w:i/>
          <w:iCs/>
          <w:lang w:val="en-US"/>
        </w:rPr>
      </w:pPr>
      <w:r w:rsidRPr="00A326B4">
        <w:rPr>
          <w:b/>
          <w:bCs/>
          <w:i/>
          <w:iCs/>
          <w:lang w:val="en-US"/>
        </w:rPr>
        <w:t>Safeguarding Training – Children &amp; Young People</w:t>
      </w:r>
    </w:p>
    <w:p w14:paraId="02482564" w14:textId="3A3F0DEE" w:rsidR="00805BAA" w:rsidRPr="003E092E" w:rsidRDefault="00805BAA" w:rsidP="004558B0">
      <w:pPr>
        <w:ind w:right="272"/>
        <w:rPr>
          <w:lang w:val="en-US"/>
        </w:rPr>
      </w:pPr>
      <w:r w:rsidRPr="003E092E">
        <w:rPr>
          <w:lang w:val="en-US"/>
        </w:rPr>
        <w:t xml:space="preserve">There is no nationally recognized standard for safeguarding training. </w:t>
      </w:r>
      <w:r w:rsidR="00561B0C" w:rsidRPr="003E092E">
        <w:rPr>
          <w:lang w:val="en-US"/>
        </w:rPr>
        <w:t>Therefore,</w:t>
      </w:r>
      <w:r w:rsidRPr="003E092E">
        <w:rPr>
          <w:lang w:val="en-US"/>
        </w:rPr>
        <w:t xml:space="preserve"> we do not stipulate a specific training course, or make exclusive recommendations. We strongly recommend that training is either attended in person or online, with a trainer who delivers the training live, enabling discussion and questioning. For this </w:t>
      </w:r>
      <w:r w:rsidR="00561B0C" w:rsidRPr="003E092E">
        <w:rPr>
          <w:lang w:val="en-US"/>
        </w:rPr>
        <w:t>reason,</w:t>
      </w:r>
      <w:r w:rsidRPr="003E092E">
        <w:rPr>
          <w:lang w:val="en-US"/>
        </w:rPr>
        <w:t xml:space="preserve"> </w:t>
      </w:r>
      <w:r w:rsidR="00561B0C" w:rsidRPr="003E092E">
        <w:rPr>
          <w:lang w:val="en-US"/>
        </w:rPr>
        <w:t>eLearning</w:t>
      </w:r>
      <w:r w:rsidRPr="003E092E">
        <w:rPr>
          <w:lang w:val="en-US"/>
        </w:rPr>
        <w:t xml:space="preserve"> module training is not suitable.</w:t>
      </w:r>
    </w:p>
    <w:p w14:paraId="3764DD3B" w14:textId="023D253E" w:rsidR="00A326B4" w:rsidRPr="00A326B4" w:rsidRDefault="00805BAA" w:rsidP="004558B0">
      <w:pPr>
        <w:ind w:right="272"/>
        <w:rPr>
          <w:b/>
          <w:bCs/>
          <w:i/>
          <w:iCs/>
          <w:lang w:val="en-US"/>
        </w:rPr>
      </w:pPr>
      <w:r w:rsidRPr="00A326B4">
        <w:rPr>
          <w:b/>
          <w:bCs/>
          <w:i/>
          <w:iCs/>
          <w:lang w:val="en-US"/>
        </w:rPr>
        <w:t xml:space="preserve">Safeguarding Training </w:t>
      </w:r>
      <w:r w:rsidR="00A326B4" w:rsidRPr="00A326B4">
        <w:rPr>
          <w:b/>
          <w:bCs/>
          <w:i/>
          <w:iCs/>
          <w:lang w:val="en-US"/>
        </w:rPr>
        <w:t>–</w:t>
      </w:r>
      <w:r w:rsidRPr="00A326B4">
        <w:rPr>
          <w:b/>
          <w:bCs/>
          <w:i/>
          <w:iCs/>
          <w:lang w:val="en-US"/>
        </w:rPr>
        <w:t xml:space="preserve"> Adults</w:t>
      </w:r>
    </w:p>
    <w:p w14:paraId="2D717F22" w14:textId="70389EA9" w:rsidR="00805BAA" w:rsidRPr="003E092E" w:rsidRDefault="00561B0C" w:rsidP="004558B0">
      <w:pPr>
        <w:ind w:right="272"/>
        <w:rPr>
          <w:lang w:val="en-US"/>
        </w:rPr>
      </w:pPr>
      <w:r>
        <w:rPr>
          <w:lang w:val="en-US"/>
        </w:rPr>
        <w:t xml:space="preserve">The </w:t>
      </w:r>
      <w:r w:rsidR="00805BAA" w:rsidRPr="003E092E">
        <w:rPr>
          <w:lang w:val="en-US"/>
        </w:rPr>
        <w:t>Ann Craft Trust</w:t>
      </w:r>
      <w:r>
        <w:rPr>
          <w:lang w:val="en-US"/>
        </w:rPr>
        <w:t xml:space="preserve">, </w:t>
      </w:r>
      <w:r w:rsidR="00805BAA" w:rsidRPr="003E092E">
        <w:rPr>
          <w:lang w:val="en-US"/>
        </w:rPr>
        <w:t>funded by Sport England</w:t>
      </w:r>
      <w:r>
        <w:rPr>
          <w:lang w:val="en-US"/>
        </w:rPr>
        <w:t xml:space="preserve">, </w:t>
      </w:r>
      <w:proofErr w:type="gramStart"/>
      <w:r>
        <w:rPr>
          <w:lang w:val="en-US"/>
        </w:rPr>
        <w:t>p</w:t>
      </w:r>
      <w:r w:rsidR="00805BAA" w:rsidRPr="003E092E">
        <w:rPr>
          <w:lang w:val="en-US"/>
        </w:rPr>
        <w:t>romote</w:t>
      </w:r>
      <w:r>
        <w:rPr>
          <w:lang w:val="en-US"/>
        </w:rPr>
        <w:t>s</w:t>
      </w:r>
      <w:proofErr w:type="gramEnd"/>
      <w:r w:rsidR="00805BAA" w:rsidRPr="003E092E">
        <w:rPr>
          <w:lang w:val="en-US"/>
        </w:rPr>
        <w:t xml:space="preserve"> and encourage</w:t>
      </w:r>
      <w:r>
        <w:rPr>
          <w:lang w:val="en-US"/>
        </w:rPr>
        <w:t>s</w:t>
      </w:r>
      <w:r w:rsidR="00805BAA" w:rsidRPr="003E092E">
        <w:rPr>
          <w:lang w:val="en-US"/>
        </w:rPr>
        <w:t xml:space="preserve"> the safeguarding of adults in sport and physical activity. A </w:t>
      </w:r>
      <w:proofErr w:type="spellStart"/>
      <w:r w:rsidR="00805BAA" w:rsidRPr="003E092E">
        <w:rPr>
          <w:lang w:val="en-US"/>
        </w:rPr>
        <w:t>programme</w:t>
      </w:r>
      <w:proofErr w:type="spellEnd"/>
      <w:r w:rsidR="00805BAA" w:rsidRPr="003E092E">
        <w:rPr>
          <w:lang w:val="en-US"/>
        </w:rPr>
        <w:t xml:space="preserve"> of training is delivered online. It is recommended that MTE providers, course directors and tutors, as a minimum, should view these videos, links below:</w:t>
      </w:r>
    </w:p>
    <w:p w14:paraId="76270647" w14:textId="77777777" w:rsidR="00805BAA" w:rsidRPr="003E092E" w:rsidRDefault="002C640B" w:rsidP="004558B0">
      <w:pPr>
        <w:ind w:right="272"/>
        <w:rPr>
          <w:lang w:val="en-US"/>
        </w:rPr>
      </w:pPr>
      <w:hyperlink r:id="rId8" w:history="1">
        <w:r w:rsidR="00805BAA" w:rsidRPr="003E092E">
          <w:rPr>
            <w:rStyle w:val="Hyperlink"/>
            <w:lang w:val="en-US"/>
          </w:rPr>
          <w:t>https://www.anncrafttrust.org/resources/what-is-safeguarding/</w:t>
        </w:r>
      </w:hyperlink>
      <w:r w:rsidR="00805BAA" w:rsidRPr="003E092E">
        <w:rPr>
          <w:lang w:val="en-US"/>
        </w:rPr>
        <w:t xml:space="preserve"> 10 minutes</w:t>
      </w:r>
    </w:p>
    <w:p w14:paraId="5228C435" w14:textId="472BAA29" w:rsidR="00805BAA" w:rsidRDefault="00805BAA" w:rsidP="004558B0">
      <w:pPr>
        <w:ind w:right="272"/>
        <w:rPr>
          <w:lang w:val="en-US"/>
        </w:rPr>
      </w:pPr>
      <w:r w:rsidRPr="00DD399A">
        <w:t>Introduction to Safeguarding Adults Video - Club Matters Sport England</w:t>
      </w:r>
      <w:r w:rsidR="00DD399A">
        <w:rPr>
          <w:rStyle w:val="Hyperlink"/>
        </w:rPr>
        <w:t xml:space="preserve"> </w:t>
      </w:r>
      <w:hyperlink r:id="rId9" w:history="1">
        <w:r w:rsidR="00DD399A" w:rsidRPr="004437D2">
          <w:rPr>
            <w:rStyle w:val="Hyperlink"/>
            <w:lang w:val="en-US"/>
          </w:rPr>
          <w:t>https://www.youtube.com/watch?v=pCoUlhITzWM</w:t>
        </w:r>
      </w:hyperlink>
      <w:r w:rsidR="00DD399A">
        <w:rPr>
          <w:lang w:val="en-US"/>
        </w:rPr>
        <w:t xml:space="preserve"> </w:t>
      </w:r>
      <w:r w:rsidRPr="003E092E">
        <w:rPr>
          <w:lang w:val="en-US"/>
        </w:rPr>
        <w:t>6mins</w:t>
      </w:r>
    </w:p>
    <w:p w14:paraId="712BCEF8" w14:textId="38AFE566" w:rsidR="00561B0C" w:rsidRDefault="00561B0C" w:rsidP="004558B0">
      <w:pPr>
        <w:ind w:right="272"/>
        <w:rPr>
          <w:lang w:val="en-US"/>
        </w:rPr>
      </w:pPr>
    </w:p>
    <w:p w14:paraId="4F0043B5" w14:textId="228B2870" w:rsidR="00561B0C" w:rsidRPr="00DD399A" w:rsidRDefault="00561B0C" w:rsidP="004558B0">
      <w:pPr>
        <w:ind w:right="272"/>
        <w:rPr>
          <w:color w:val="0000FF"/>
          <w:u w:val="single"/>
        </w:rPr>
      </w:pPr>
      <w:r>
        <w:rPr>
          <w:lang w:val="en-US"/>
        </w:rPr>
        <w:lastRenderedPageBreak/>
        <w:t>Providers, course directors and tutors may benefit from additional adult safeguarding training at the provider’s discretion.</w:t>
      </w:r>
    </w:p>
    <w:p w14:paraId="00FC0D2F" w14:textId="77777777" w:rsidR="00805BAA" w:rsidRPr="003E092E" w:rsidRDefault="00805BAA" w:rsidP="004558B0">
      <w:pPr>
        <w:ind w:right="272"/>
        <w:rPr>
          <w:b/>
          <w:bCs/>
          <w:sz w:val="24"/>
          <w:szCs w:val="24"/>
          <w:lang w:val="en-US"/>
        </w:rPr>
      </w:pPr>
      <w:r w:rsidRPr="003E092E">
        <w:rPr>
          <w:b/>
          <w:bCs/>
          <w:sz w:val="24"/>
          <w:szCs w:val="24"/>
          <w:lang w:val="en-US"/>
        </w:rPr>
        <w:t>Regulated Activity</w:t>
      </w:r>
    </w:p>
    <w:p w14:paraId="60927513" w14:textId="5F986DCA" w:rsidR="00805BAA" w:rsidRDefault="00805BAA" w:rsidP="004558B0">
      <w:pPr>
        <w:spacing w:after="0"/>
        <w:ind w:right="272"/>
        <w:rPr>
          <w:b/>
          <w:i/>
          <w:iCs/>
        </w:rPr>
      </w:pPr>
      <w:r w:rsidRPr="00A326B4">
        <w:rPr>
          <w:b/>
          <w:i/>
          <w:iCs/>
        </w:rPr>
        <w:t>Definition of Regulated Activity (Children)</w:t>
      </w:r>
    </w:p>
    <w:p w14:paraId="75B8C9D4" w14:textId="77777777" w:rsidR="00A326B4" w:rsidRPr="00A326B4" w:rsidRDefault="00A326B4" w:rsidP="004558B0">
      <w:pPr>
        <w:spacing w:after="0"/>
        <w:ind w:right="272"/>
        <w:rPr>
          <w:b/>
          <w:i/>
          <w:iCs/>
        </w:rPr>
      </w:pPr>
    </w:p>
    <w:p w14:paraId="6DA25229" w14:textId="72905A05" w:rsidR="00805BAA" w:rsidRPr="006C67F1" w:rsidRDefault="00805BAA" w:rsidP="004558B0">
      <w:pPr>
        <w:pStyle w:val="BodyText"/>
        <w:spacing w:line="276" w:lineRule="auto"/>
        <w:ind w:right="272"/>
        <w:rPr>
          <w:rFonts w:asciiTheme="minorHAnsi" w:hAnsiTheme="minorHAnsi" w:cs="Arial"/>
          <w:sz w:val="22"/>
          <w:szCs w:val="22"/>
        </w:rPr>
      </w:pPr>
      <w:r w:rsidRPr="003E092E">
        <w:rPr>
          <w:rStyle w:val="purple8"/>
          <w:rFonts w:asciiTheme="minorHAnsi" w:hAnsiTheme="minorHAnsi" w:cs="Arial"/>
          <w:sz w:val="22"/>
          <w:szCs w:val="22"/>
        </w:rPr>
        <w:t xml:space="preserve">These are activities that include the following:  </w:t>
      </w:r>
      <w:r w:rsidRPr="003E092E">
        <w:rPr>
          <w:rFonts w:asciiTheme="minorHAnsi" w:hAnsiTheme="minorHAnsi" w:cs="Arial"/>
          <w:sz w:val="22"/>
          <w:szCs w:val="22"/>
        </w:rPr>
        <w:t>Teaching, training, instructing, caring for or</w:t>
      </w:r>
      <w:r w:rsidR="004558B0">
        <w:rPr>
          <w:rFonts w:asciiTheme="minorHAnsi" w:hAnsiTheme="minorHAnsi" w:cs="Arial"/>
          <w:sz w:val="22"/>
          <w:szCs w:val="22"/>
        </w:rPr>
        <w:t xml:space="preserve"> s</w:t>
      </w:r>
      <w:r w:rsidRPr="003E092E">
        <w:rPr>
          <w:rFonts w:asciiTheme="minorHAnsi" w:hAnsiTheme="minorHAnsi" w:cs="Arial"/>
          <w:sz w:val="22"/>
          <w:szCs w:val="22"/>
        </w:rPr>
        <w:t xml:space="preserve">upervising children; or providing guidance / advice on well-being; or driving a vehicle only for </w:t>
      </w:r>
      <w:r w:rsidRPr="006C67F1">
        <w:rPr>
          <w:rFonts w:asciiTheme="minorHAnsi" w:hAnsiTheme="minorHAnsi" w:cs="Arial"/>
          <w:sz w:val="22"/>
          <w:szCs w:val="22"/>
        </w:rPr>
        <w:t xml:space="preserve">children, on a frequent basis. </w:t>
      </w:r>
    </w:p>
    <w:p w14:paraId="0736E8A8" w14:textId="77777777" w:rsidR="00805BAA" w:rsidRPr="006C67F1" w:rsidRDefault="00805BAA" w:rsidP="004558B0">
      <w:pPr>
        <w:pStyle w:val="BodyText"/>
        <w:spacing w:line="276" w:lineRule="auto"/>
        <w:ind w:right="272"/>
        <w:rPr>
          <w:rFonts w:asciiTheme="minorHAnsi" w:hAnsiTheme="minorHAnsi" w:cs="Arial"/>
          <w:sz w:val="22"/>
          <w:szCs w:val="22"/>
        </w:rPr>
      </w:pPr>
    </w:p>
    <w:p w14:paraId="60882EF3" w14:textId="77777777" w:rsidR="00805BAA" w:rsidRPr="003E092E" w:rsidRDefault="00805BAA" w:rsidP="004558B0">
      <w:pPr>
        <w:ind w:right="272"/>
        <w:rPr>
          <w:rFonts w:cs="Arial"/>
        </w:rPr>
      </w:pPr>
      <w:r w:rsidRPr="006C67F1">
        <w:rPr>
          <w:rFonts w:cs="Arial"/>
        </w:rPr>
        <w:t>Frequency: Regulated</w:t>
      </w:r>
      <w:r w:rsidRPr="003E092E">
        <w:rPr>
          <w:rFonts w:cs="Arial"/>
        </w:rPr>
        <w:t xml:space="preserve"> Activities are undertaken at least once a week or more </w:t>
      </w:r>
      <w:proofErr w:type="gramStart"/>
      <w:r w:rsidRPr="003E092E">
        <w:rPr>
          <w:rFonts w:cs="Arial"/>
        </w:rPr>
        <w:t>often, or</w:t>
      </w:r>
      <w:proofErr w:type="gramEnd"/>
      <w:r w:rsidRPr="003E092E">
        <w:rPr>
          <w:rFonts w:cs="Arial"/>
        </w:rPr>
        <w:t xml:space="preserve"> happen intensively on 4 or more days in a 30 day period, or overnight. </w:t>
      </w:r>
    </w:p>
    <w:p w14:paraId="637E09C6" w14:textId="77777777" w:rsidR="00805BAA" w:rsidRPr="003E092E" w:rsidRDefault="00805BAA" w:rsidP="004558B0">
      <w:pPr>
        <w:ind w:right="272"/>
      </w:pPr>
      <w:r w:rsidRPr="003E092E">
        <w:t xml:space="preserve">Source: </w:t>
      </w:r>
      <w:hyperlink r:id="rId10" w:history="1">
        <w:r w:rsidRPr="003E092E">
          <w:rPr>
            <w:rStyle w:val="Hyperlink"/>
          </w:rPr>
          <w:t>https://assets.publishing.service.gov.uk/government/uploads/system/uploads/attachment_data/file/550197/Regulated_activity_in_relation_to_children.pdf</w:t>
        </w:r>
      </w:hyperlink>
      <w:r w:rsidRPr="003E092E">
        <w:t xml:space="preserve"> </w:t>
      </w:r>
    </w:p>
    <w:p w14:paraId="7549E78A" w14:textId="49311E9B" w:rsidR="00805BAA" w:rsidRDefault="00805BAA" w:rsidP="004558B0">
      <w:pPr>
        <w:spacing w:after="0"/>
        <w:ind w:right="272"/>
        <w:rPr>
          <w:b/>
          <w:i/>
          <w:iCs/>
        </w:rPr>
      </w:pPr>
      <w:r w:rsidRPr="00DE7CA6">
        <w:rPr>
          <w:b/>
          <w:i/>
          <w:iCs/>
        </w:rPr>
        <w:t>Definition of Regulated Activity (Adults)</w:t>
      </w:r>
    </w:p>
    <w:p w14:paraId="7C6FFB58" w14:textId="77777777" w:rsidR="00DE7CA6" w:rsidRPr="00DE7CA6" w:rsidRDefault="00DE7CA6" w:rsidP="004558B0">
      <w:pPr>
        <w:spacing w:after="0"/>
        <w:ind w:right="272"/>
        <w:rPr>
          <w:b/>
          <w:i/>
          <w:iCs/>
        </w:rPr>
      </w:pPr>
    </w:p>
    <w:p w14:paraId="2F448794" w14:textId="77777777" w:rsidR="00805BAA" w:rsidRPr="003E092E" w:rsidRDefault="00805BAA" w:rsidP="004558B0">
      <w:pPr>
        <w:ind w:right="272"/>
        <w:rPr>
          <w:lang w:val="en-US"/>
        </w:rPr>
      </w:pPr>
      <w:r w:rsidRPr="003E092E">
        <w:rPr>
          <w:lang w:val="en-US"/>
        </w:rPr>
        <w:t xml:space="preserve">There is good detail here with examples: </w:t>
      </w:r>
      <w:hyperlink r:id="rId11" w:history="1">
        <w:r w:rsidRPr="003E092E">
          <w:rPr>
            <w:rStyle w:val="Hyperlink"/>
            <w:lang w:val="en-US"/>
          </w:rPr>
          <w:t>https://assets.publishing.service.gov.uk/government/uploads/system/uploads/attachment_data/file/216900/Regulated-Activity-Adults-Dec-2012.pdf</w:t>
        </w:r>
      </w:hyperlink>
      <w:r w:rsidRPr="003E092E">
        <w:rPr>
          <w:lang w:val="en-US"/>
        </w:rPr>
        <w:t xml:space="preserve"> </w:t>
      </w:r>
    </w:p>
    <w:p w14:paraId="731208B6" w14:textId="77777777" w:rsidR="00805BAA" w:rsidRPr="003E092E" w:rsidRDefault="00805BAA" w:rsidP="004558B0">
      <w:pPr>
        <w:ind w:right="272"/>
        <w:rPr>
          <w:b/>
          <w:bCs/>
          <w:sz w:val="24"/>
          <w:szCs w:val="24"/>
          <w:lang w:val="en-US"/>
        </w:rPr>
      </w:pPr>
      <w:r w:rsidRPr="003E092E">
        <w:rPr>
          <w:b/>
          <w:bCs/>
          <w:sz w:val="24"/>
          <w:szCs w:val="24"/>
          <w:lang w:val="en-US"/>
        </w:rPr>
        <w:t>General Safeguarding Resources</w:t>
      </w:r>
    </w:p>
    <w:p w14:paraId="15E5270E" w14:textId="77777777" w:rsidR="00805BAA" w:rsidRPr="003E092E" w:rsidRDefault="002C640B" w:rsidP="004558B0">
      <w:pPr>
        <w:ind w:right="272"/>
        <w:rPr>
          <w:lang w:val="en-US"/>
        </w:rPr>
      </w:pPr>
      <w:hyperlink r:id="rId12" w:history="1">
        <w:r w:rsidR="00805BAA" w:rsidRPr="003E092E">
          <w:rPr>
            <w:rStyle w:val="Hyperlink"/>
            <w:lang w:val="en-US"/>
          </w:rPr>
          <w:t>https://learning.nspcc.org.uk/safeguarding-child-protection/writing-a-safeguarding-policy-statement</w:t>
        </w:r>
      </w:hyperlink>
    </w:p>
    <w:p w14:paraId="1317FE29" w14:textId="77777777" w:rsidR="00805BAA" w:rsidRPr="003E092E" w:rsidRDefault="002C640B" w:rsidP="004558B0">
      <w:pPr>
        <w:ind w:right="272"/>
        <w:rPr>
          <w:lang w:val="en-US"/>
        </w:rPr>
      </w:pPr>
      <w:hyperlink r:id="rId13" w:history="1">
        <w:r w:rsidR="00805BAA" w:rsidRPr="003E092E">
          <w:rPr>
            <w:rStyle w:val="Hyperlink"/>
            <w:lang w:val="en-US"/>
          </w:rPr>
          <w:t>https://learning.nspcc.org.uk/research-resources/2019/safeguarding-child-protection-standards</w:t>
        </w:r>
      </w:hyperlink>
    </w:p>
    <w:p w14:paraId="1A7E159B" w14:textId="77777777" w:rsidR="00805BAA" w:rsidRPr="003E092E" w:rsidRDefault="002C640B" w:rsidP="004558B0">
      <w:pPr>
        <w:ind w:right="272"/>
        <w:rPr>
          <w:lang w:val="en-US"/>
        </w:rPr>
      </w:pPr>
      <w:hyperlink r:id="rId14" w:anchor="sport" w:history="1">
        <w:r w:rsidR="00805BAA" w:rsidRPr="003E092E">
          <w:rPr>
            <w:rStyle w:val="Hyperlink"/>
            <w:lang w:val="en-US"/>
          </w:rPr>
          <w:t>https://www.anncrafttrust.org/resources/#sport</w:t>
        </w:r>
      </w:hyperlink>
    </w:p>
    <w:p w14:paraId="5CF92341" w14:textId="77777777" w:rsidR="00805BAA" w:rsidRPr="00DE7CA6" w:rsidRDefault="00805BAA" w:rsidP="004558B0">
      <w:pPr>
        <w:ind w:right="272"/>
        <w:rPr>
          <w:b/>
          <w:bCs/>
          <w:i/>
          <w:iCs/>
          <w:lang w:val="en-US"/>
        </w:rPr>
      </w:pPr>
      <w:r w:rsidRPr="00DE7CA6">
        <w:rPr>
          <w:b/>
          <w:bCs/>
          <w:i/>
          <w:iCs/>
          <w:lang w:val="en-US"/>
        </w:rPr>
        <w:t xml:space="preserve">Template policies </w:t>
      </w:r>
    </w:p>
    <w:p w14:paraId="5CCA63BB" w14:textId="77777777" w:rsidR="00805BAA" w:rsidRPr="003E092E" w:rsidRDefault="00805BAA" w:rsidP="004558B0">
      <w:pPr>
        <w:ind w:right="272"/>
        <w:rPr>
          <w:lang w:val="en-US"/>
        </w:rPr>
      </w:pPr>
      <w:r w:rsidRPr="003E092E">
        <w:rPr>
          <w:lang w:val="en-US"/>
        </w:rPr>
        <w:t xml:space="preserve">Child safeguarding - </w:t>
      </w:r>
      <w:hyperlink r:id="rId15" w:history="1">
        <w:r w:rsidRPr="003E092E">
          <w:rPr>
            <w:rStyle w:val="Hyperlink"/>
            <w:lang w:val="en-US"/>
          </w:rPr>
          <w:t>https://learning.nspcc.org.uk/research-resources/templates/example-safeguarding-policy-statement</w:t>
        </w:r>
      </w:hyperlink>
    </w:p>
    <w:p w14:paraId="5B60E515" w14:textId="77777777" w:rsidR="00805BAA" w:rsidRPr="003E092E" w:rsidRDefault="00805BAA" w:rsidP="004558B0">
      <w:pPr>
        <w:ind w:right="272"/>
        <w:rPr>
          <w:lang w:val="en-US"/>
        </w:rPr>
      </w:pPr>
      <w:r w:rsidRPr="003E092E">
        <w:rPr>
          <w:lang w:val="en-US"/>
        </w:rPr>
        <w:t xml:space="preserve">Adult safeguarding - </w:t>
      </w:r>
      <w:hyperlink r:id="rId16" w:history="1">
        <w:r w:rsidRPr="003E092E">
          <w:rPr>
            <w:rStyle w:val="Hyperlink"/>
            <w:lang w:val="en-US"/>
          </w:rPr>
          <w:t>https://www.anncrafttrust.org/resources/safeguarding-adults-policy-procedures-templates/</w:t>
        </w:r>
      </w:hyperlink>
    </w:p>
    <w:p w14:paraId="75B05D73" w14:textId="77777777" w:rsidR="00805BAA" w:rsidRPr="00DE7CA6" w:rsidRDefault="00805BAA" w:rsidP="004558B0">
      <w:pPr>
        <w:ind w:right="272"/>
        <w:rPr>
          <w:b/>
          <w:bCs/>
          <w:i/>
          <w:iCs/>
          <w:lang w:val="en-US"/>
        </w:rPr>
      </w:pPr>
      <w:r w:rsidRPr="00DE7CA6">
        <w:rPr>
          <w:b/>
          <w:bCs/>
          <w:i/>
          <w:iCs/>
          <w:lang w:val="en-US"/>
        </w:rPr>
        <w:t>Adults Safeguarding training - videos</w:t>
      </w:r>
    </w:p>
    <w:p w14:paraId="09FDF433" w14:textId="77777777" w:rsidR="00805BAA" w:rsidRPr="003E092E" w:rsidRDefault="002C640B" w:rsidP="004558B0">
      <w:pPr>
        <w:ind w:right="272"/>
        <w:rPr>
          <w:lang w:val="en-US"/>
        </w:rPr>
      </w:pPr>
      <w:hyperlink r:id="rId17" w:history="1">
        <w:r w:rsidR="00805BAA" w:rsidRPr="003E092E">
          <w:rPr>
            <w:rStyle w:val="Hyperlink"/>
            <w:lang w:val="en-US"/>
          </w:rPr>
          <w:t>https://www.anncrafttrust.org/resources/what-is-safeguarding/</w:t>
        </w:r>
      </w:hyperlink>
      <w:r w:rsidR="00805BAA" w:rsidRPr="003E092E">
        <w:rPr>
          <w:lang w:val="en-US"/>
        </w:rPr>
        <w:t xml:space="preserve"> 10 minutes</w:t>
      </w:r>
    </w:p>
    <w:p w14:paraId="6E8DFFE6" w14:textId="77777777" w:rsidR="00805BAA" w:rsidRPr="003E092E" w:rsidRDefault="002C640B" w:rsidP="004558B0">
      <w:pPr>
        <w:ind w:right="272"/>
        <w:rPr>
          <w:lang w:val="en-US"/>
        </w:rPr>
      </w:pPr>
      <w:hyperlink r:id="rId18" w:history="1">
        <w:r w:rsidR="00805BAA" w:rsidRPr="003E092E">
          <w:rPr>
            <w:rStyle w:val="Hyperlink"/>
            <w:lang w:val="en-US"/>
          </w:rPr>
          <w:t>https://www.anncrafttrust.org/resources/a-video-introduction-to-safeguarding-adults-in-sport/</w:t>
        </w:r>
      </w:hyperlink>
      <w:r w:rsidR="00805BAA" w:rsidRPr="003E092E">
        <w:rPr>
          <w:lang w:val="en-US"/>
        </w:rPr>
        <w:t xml:space="preserve"> 6 minutes</w:t>
      </w:r>
    </w:p>
    <w:p w14:paraId="3D28E10E" w14:textId="77777777" w:rsidR="00DD399A" w:rsidRPr="00DD399A" w:rsidRDefault="00DD399A" w:rsidP="004558B0">
      <w:pPr>
        <w:ind w:right="272"/>
        <w:rPr>
          <w:color w:val="0000FF"/>
          <w:u w:val="single"/>
        </w:rPr>
      </w:pPr>
      <w:r w:rsidRPr="00DD399A">
        <w:t>Introduction to Safeguarding Adults Video - Club Matters Sport England</w:t>
      </w:r>
      <w:r>
        <w:rPr>
          <w:rStyle w:val="Hyperlink"/>
        </w:rPr>
        <w:t xml:space="preserve"> </w:t>
      </w:r>
      <w:hyperlink r:id="rId19" w:history="1">
        <w:r w:rsidRPr="004437D2">
          <w:rPr>
            <w:rStyle w:val="Hyperlink"/>
            <w:lang w:val="en-US"/>
          </w:rPr>
          <w:t>https://www.youtube.com/watch?v=pCoUlhITzWM</w:t>
        </w:r>
      </w:hyperlink>
      <w:r>
        <w:rPr>
          <w:lang w:val="en-US"/>
        </w:rPr>
        <w:t xml:space="preserve"> </w:t>
      </w:r>
      <w:r w:rsidRPr="003E092E">
        <w:rPr>
          <w:lang w:val="en-US"/>
        </w:rPr>
        <w:t>6mins</w:t>
      </w:r>
    </w:p>
    <w:p w14:paraId="6668A91F" w14:textId="77777777" w:rsidR="00805BAA" w:rsidRPr="00DE7CA6" w:rsidRDefault="00805BAA" w:rsidP="004558B0">
      <w:pPr>
        <w:ind w:right="272"/>
        <w:rPr>
          <w:b/>
          <w:bCs/>
          <w:i/>
          <w:iCs/>
          <w:lang w:val="en-US"/>
        </w:rPr>
      </w:pPr>
      <w:r w:rsidRPr="00DE7CA6">
        <w:rPr>
          <w:b/>
          <w:bCs/>
          <w:i/>
          <w:iCs/>
          <w:lang w:val="en-US"/>
        </w:rPr>
        <w:t xml:space="preserve">Other Safeguarding training </w:t>
      </w:r>
    </w:p>
    <w:p w14:paraId="582CF9E7" w14:textId="77777777" w:rsidR="00805BAA" w:rsidRPr="003E092E" w:rsidRDefault="002C640B" w:rsidP="004558B0">
      <w:pPr>
        <w:ind w:right="272"/>
        <w:rPr>
          <w:lang w:val="en-US"/>
        </w:rPr>
      </w:pPr>
      <w:hyperlink r:id="rId20" w:history="1">
        <w:r w:rsidR="00805BAA" w:rsidRPr="003E092E">
          <w:rPr>
            <w:rStyle w:val="Hyperlink"/>
            <w:lang w:val="en-US"/>
          </w:rPr>
          <w:t>https://learning.nspcc.org.uk/training</w:t>
        </w:r>
      </w:hyperlink>
    </w:p>
    <w:p w14:paraId="507C057C" w14:textId="77777777" w:rsidR="00805BAA" w:rsidRPr="003E092E" w:rsidRDefault="00805BAA" w:rsidP="004558B0">
      <w:pPr>
        <w:ind w:right="272"/>
        <w:rPr>
          <w:lang w:val="en-US"/>
        </w:rPr>
      </w:pPr>
      <w:r w:rsidRPr="003E092E">
        <w:rPr>
          <w:lang w:val="en-US"/>
        </w:rPr>
        <w:t>https://learning.nspcc.org.uk/training/child-protection-safeguarding-sport</w:t>
      </w:r>
    </w:p>
    <w:p w14:paraId="40EB3579" w14:textId="77777777" w:rsidR="00805BAA" w:rsidRPr="003E092E" w:rsidRDefault="002C640B" w:rsidP="004558B0">
      <w:pPr>
        <w:ind w:right="272"/>
        <w:rPr>
          <w:lang w:val="en-US"/>
        </w:rPr>
      </w:pPr>
      <w:hyperlink r:id="rId21" w:history="1">
        <w:r w:rsidR="00805BAA" w:rsidRPr="003E092E">
          <w:rPr>
            <w:rStyle w:val="Hyperlink"/>
            <w:lang w:val="en-US"/>
          </w:rPr>
          <w:t>https://www.anncrafttrust.org/safeguarding-adults-sport-activity/</w:t>
        </w:r>
      </w:hyperlink>
    </w:p>
    <w:p w14:paraId="33871348" w14:textId="5F58FEA5" w:rsidR="00805BAA" w:rsidRPr="003E092E" w:rsidRDefault="002C640B" w:rsidP="004558B0">
      <w:pPr>
        <w:ind w:right="272"/>
        <w:rPr>
          <w:rStyle w:val="Hyperlink"/>
          <w:lang w:val="en-US"/>
        </w:rPr>
      </w:pPr>
      <w:hyperlink r:id="rId22" w:history="1">
        <w:r w:rsidR="00805BAA" w:rsidRPr="003E092E">
          <w:rPr>
            <w:rStyle w:val="Hyperlink"/>
            <w:lang w:val="en-US"/>
          </w:rPr>
          <w:t>https://thecpsu.org.uk/training-events/choose-the-right-training/</w:t>
        </w:r>
      </w:hyperlink>
    </w:p>
    <w:sectPr w:rsidR="00805BAA" w:rsidRPr="003E092E" w:rsidSect="004558B0">
      <w:headerReference w:type="default" r:id="rId23"/>
      <w:footerReference w:type="default" r:id="rId24"/>
      <w:pgSz w:w="11906" w:h="16838"/>
      <w:pgMar w:top="126" w:right="566" w:bottom="720" w:left="720" w:header="141"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CC3DE" w14:textId="77777777" w:rsidR="000825C0" w:rsidRDefault="000825C0">
      <w:pPr>
        <w:spacing w:after="0" w:line="240" w:lineRule="auto"/>
      </w:pPr>
      <w:r>
        <w:separator/>
      </w:r>
    </w:p>
  </w:endnote>
  <w:endnote w:type="continuationSeparator" w:id="0">
    <w:p w14:paraId="417CAF61" w14:textId="77777777" w:rsidR="000825C0" w:rsidRDefault="0008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A4BBD" w14:textId="73CD2BEC" w:rsidR="002C640B" w:rsidRDefault="002C640B" w:rsidP="00754551">
    <w:pP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0D67A" w14:textId="77777777" w:rsidR="000825C0" w:rsidRDefault="000825C0">
      <w:pPr>
        <w:spacing w:after="0" w:line="240" w:lineRule="auto"/>
      </w:pPr>
      <w:r>
        <w:separator/>
      </w:r>
    </w:p>
  </w:footnote>
  <w:footnote w:type="continuationSeparator" w:id="0">
    <w:p w14:paraId="50645090" w14:textId="77777777" w:rsidR="000825C0" w:rsidRDefault="000825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82465"/>
      <w:docPartObj>
        <w:docPartGallery w:val="Page Numbers (Top of Page)"/>
        <w:docPartUnique/>
      </w:docPartObj>
    </w:sdtPr>
    <w:sdtEndPr>
      <w:rPr>
        <w:noProof/>
      </w:rPr>
    </w:sdtEndPr>
    <w:sdtContent>
      <w:p w14:paraId="558B7E7D" w14:textId="0739041F" w:rsidR="00E45A47" w:rsidRDefault="002C640B">
        <w:pPr>
          <w:pStyle w:val="Header"/>
        </w:pPr>
      </w:p>
    </w:sdtContent>
  </w:sdt>
  <w:p w14:paraId="28C47FC4" w14:textId="77777777" w:rsidR="00E45A47" w:rsidRDefault="00E45A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92C6B"/>
    <w:multiLevelType w:val="multilevel"/>
    <w:tmpl w:val="13EC9022"/>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15:restartNumberingAfterBreak="0">
    <w:nsid w:val="1FDC6262"/>
    <w:multiLevelType w:val="hybridMultilevel"/>
    <w:tmpl w:val="E90C019C"/>
    <w:lvl w:ilvl="0" w:tplc="BA5036DC">
      <w:start w:val="1"/>
      <w:numFmt w:val="decimal"/>
      <w:lvlText w:val="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424FCB"/>
    <w:multiLevelType w:val="hybridMultilevel"/>
    <w:tmpl w:val="E6B8AD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DD2F0E"/>
    <w:multiLevelType w:val="multilevel"/>
    <w:tmpl w:val="DA720762"/>
    <w:lvl w:ilvl="0">
      <w:start w:val="1"/>
      <w:numFmt w:val="bullet"/>
      <w:lvlText w:val=""/>
      <w:lvlJc w:val="left"/>
      <w:pPr>
        <w:ind w:left="1080" w:hanging="360"/>
      </w:pPr>
      <w:rPr>
        <w:rFonts w:ascii="Symbol" w:hAnsi="Symbol"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5" w15:restartNumberingAfterBreak="0">
    <w:nsid w:val="46F02CB4"/>
    <w:multiLevelType w:val="hybridMultilevel"/>
    <w:tmpl w:val="6708064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25B42DD"/>
    <w:multiLevelType w:val="hybridMultilevel"/>
    <w:tmpl w:val="91E4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65C4D"/>
    <w:multiLevelType w:val="hybridMultilevel"/>
    <w:tmpl w:val="62D031B0"/>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5AAF3690"/>
    <w:multiLevelType w:val="hybridMultilevel"/>
    <w:tmpl w:val="F01AB7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7795D3A"/>
    <w:multiLevelType w:val="hybridMultilevel"/>
    <w:tmpl w:val="DD2EE864"/>
    <w:lvl w:ilvl="0" w:tplc="22986A34">
      <w:start w:val="1"/>
      <w:numFmt w:val="lowerLetter"/>
      <w:lvlText w:val="(%1)"/>
      <w:lvlJc w:val="left"/>
      <w:pPr>
        <w:ind w:left="375" w:hanging="375"/>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C584176"/>
    <w:multiLevelType w:val="multilevel"/>
    <w:tmpl w:val="13EC9022"/>
    <w:lvl w:ilvl="0">
      <w:start w:val="1"/>
      <w:numFmt w:val="decimal"/>
      <w:lvlText w:val="%1."/>
      <w:lvlJc w:val="left"/>
      <w:pPr>
        <w:ind w:left="1080" w:hanging="360"/>
      </w:pPr>
      <w:rPr>
        <w:rFonts w:hint="default"/>
      </w:rPr>
    </w:lvl>
    <w:lvl w:ilvl="1">
      <w:start w:val="1"/>
      <w:numFmt w:val="decimal"/>
      <w:isLgl/>
      <w:lvlText w:val="%1.%2"/>
      <w:lvlJc w:val="left"/>
      <w:pPr>
        <w:ind w:left="360" w:hanging="360"/>
      </w:pPr>
      <w:rPr>
        <w:rFonts w:hint="default"/>
        <w:strike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1" w15:restartNumberingAfterBreak="0">
    <w:nsid w:val="7500577A"/>
    <w:multiLevelType w:val="hybridMultilevel"/>
    <w:tmpl w:val="3E361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906607">
    <w:abstractNumId w:val="3"/>
  </w:num>
  <w:num w:numId="2" w16cid:durableId="1218784296">
    <w:abstractNumId w:val="10"/>
  </w:num>
  <w:num w:numId="3" w16cid:durableId="1609464720">
    <w:abstractNumId w:val="11"/>
  </w:num>
  <w:num w:numId="4" w16cid:durableId="115225837">
    <w:abstractNumId w:val="8"/>
  </w:num>
  <w:num w:numId="5" w16cid:durableId="222722394">
    <w:abstractNumId w:val="5"/>
  </w:num>
  <w:num w:numId="6" w16cid:durableId="2011132455">
    <w:abstractNumId w:val="4"/>
  </w:num>
  <w:num w:numId="7" w16cid:durableId="1818647570">
    <w:abstractNumId w:val="2"/>
  </w:num>
  <w:num w:numId="8" w16cid:durableId="10259833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71359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201893">
    <w:abstractNumId w:val="1"/>
  </w:num>
  <w:num w:numId="11" w16cid:durableId="1490900080">
    <w:abstractNumId w:val="7"/>
  </w:num>
  <w:num w:numId="12" w16cid:durableId="1794250864">
    <w:abstractNumId w:val="6"/>
  </w:num>
  <w:num w:numId="13" w16cid:durableId="673266252">
    <w:abstractNumId w:val="9"/>
  </w:num>
  <w:num w:numId="14" w16cid:durableId="1760756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2D"/>
    <w:rsid w:val="00034136"/>
    <w:rsid w:val="000825C0"/>
    <w:rsid w:val="000875DE"/>
    <w:rsid w:val="00176643"/>
    <w:rsid w:val="00187D4C"/>
    <w:rsid w:val="002A2831"/>
    <w:rsid w:val="002C640B"/>
    <w:rsid w:val="002D747F"/>
    <w:rsid w:val="003A750C"/>
    <w:rsid w:val="003E092E"/>
    <w:rsid w:val="004419B5"/>
    <w:rsid w:val="00450908"/>
    <w:rsid w:val="004558B0"/>
    <w:rsid w:val="00461722"/>
    <w:rsid w:val="004F6BF3"/>
    <w:rsid w:val="00524018"/>
    <w:rsid w:val="00544B41"/>
    <w:rsid w:val="00561B0C"/>
    <w:rsid w:val="00566F69"/>
    <w:rsid w:val="00584407"/>
    <w:rsid w:val="005F74EA"/>
    <w:rsid w:val="006323B1"/>
    <w:rsid w:val="006A2AF7"/>
    <w:rsid w:val="006B37AD"/>
    <w:rsid w:val="006C67F1"/>
    <w:rsid w:val="007115ED"/>
    <w:rsid w:val="00805BAA"/>
    <w:rsid w:val="00817B1B"/>
    <w:rsid w:val="00823659"/>
    <w:rsid w:val="008246AC"/>
    <w:rsid w:val="00852A0F"/>
    <w:rsid w:val="0086038E"/>
    <w:rsid w:val="008917AF"/>
    <w:rsid w:val="008D0FC5"/>
    <w:rsid w:val="00945387"/>
    <w:rsid w:val="00962405"/>
    <w:rsid w:val="009B59D1"/>
    <w:rsid w:val="00A326B4"/>
    <w:rsid w:val="00A60A81"/>
    <w:rsid w:val="00A8619F"/>
    <w:rsid w:val="00B67308"/>
    <w:rsid w:val="00C4352F"/>
    <w:rsid w:val="00D72536"/>
    <w:rsid w:val="00DD399A"/>
    <w:rsid w:val="00DE7CA6"/>
    <w:rsid w:val="00E346D8"/>
    <w:rsid w:val="00E45A47"/>
    <w:rsid w:val="00EA5F2C"/>
    <w:rsid w:val="00EB48BF"/>
    <w:rsid w:val="00EE304B"/>
    <w:rsid w:val="00EF642D"/>
    <w:rsid w:val="00F32659"/>
    <w:rsid w:val="00FC5537"/>
    <w:rsid w:val="00FE1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6C682C"/>
  <w15:chartTrackingRefBased/>
  <w15:docId w15:val="{8250760A-4E55-4947-B830-CA46B7F01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42D"/>
    <w:pPr>
      <w:spacing w:after="200" w:line="276" w:lineRule="auto"/>
    </w:pPr>
  </w:style>
  <w:style w:type="paragraph" w:styleId="Heading6">
    <w:name w:val="heading 6"/>
    <w:basedOn w:val="Normal"/>
    <w:link w:val="Heading6Char"/>
    <w:uiPriority w:val="1"/>
    <w:qFormat/>
    <w:rsid w:val="00EF642D"/>
    <w:pPr>
      <w:widowControl w:val="0"/>
      <w:autoSpaceDE w:val="0"/>
      <w:autoSpaceDN w:val="0"/>
      <w:spacing w:after="0" w:line="240" w:lineRule="auto"/>
      <w:ind w:left="2120" w:hanging="360"/>
      <w:outlineLvl w:val="5"/>
    </w:pPr>
    <w:rPr>
      <w:rFonts w:ascii="Calibri" w:eastAsia="Calibri" w:hAnsi="Calibri" w:cs="Calibri"/>
      <w:sz w:val="24"/>
      <w:szCs w:val="24"/>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1"/>
    <w:rsid w:val="00EF642D"/>
    <w:rPr>
      <w:rFonts w:ascii="Calibri" w:eastAsia="Calibri" w:hAnsi="Calibri" w:cs="Calibri"/>
      <w:sz w:val="24"/>
      <w:szCs w:val="24"/>
      <w:lang w:eastAsia="en-GB" w:bidi="en-GB"/>
    </w:rPr>
  </w:style>
  <w:style w:type="paragraph" w:styleId="ListParagraph">
    <w:name w:val="List Paragraph"/>
    <w:basedOn w:val="Normal"/>
    <w:uiPriority w:val="1"/>
    <w:qFormat/>
    <w:rsid w:val="00EF642D"/>
    <w:pPr>
      <w:ind w:left="720"/>
      <w:contextualSpacing/>
    </w:pPr>
  </w:style>
  <w:style w:type="paragraph" w:styleId="Header">
    <w:name w:val="header"/>
    <w:basedOn w:val="Normal"/>
    <w:link w:val="HeaderChar"/>
    <w:uiPriority w:val="99"/>
    <w:unhideWhenUsed/>
    <w:rsid w:val="00EF64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42D"/>
  </w:style>
  <w:style w:type="paragraph" w:styleId="Footer">
    <w:name w:val="footer"/>
    <w:basedOn w:val="Normal"/>
    <w:link w:val="FooterChar"/>
    <w:uiPriority w:val="99"/>
    <w:unhideWhenUsed/>
    <w:rsid w:val="00EF64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42D"/>
  </w:style>
  <w:style w:type="character" w:styleId="CommentReference">
    <w:name w:val="annotation reference"/>
    <w:basedOn w:val="DefaultParagraphFont"/>
    <w:uiPriority w:val="99"/>
    <w:semiHidden/>
    <w:unhideWhenUsed/>
    <w:rsid w:val="00EF642D"/>
    <w:rPr>
      <w:sz w:val="16"/>
      <w:szCs w:val="16"/>
    </w:rPr>
  </w:style>
  <w:style w:type="paragraph" w:styleId="CommentText">
    <w:name w:val="annotation text"/>
    <w:basedOn w:val="Normal"/>
    <w:link w:val="CommentTextChar"/>
    <w:uiPriority w:val="99"/>
    <w:semiHidden/>
    <w:unhideWhenUsed/>
    <w:rsid w:val="00EF642D"/>
    <w:pPr>
      <w:spacing w:line="240" w:lineRule="auto"/>
    </w:pPr>
    <w:rPr>
      <w:sz w:val="20"/>
      <w:szCs w:val="20"/>
    </w:rPr>
  </w:style>
  <w:style w:type="character" w:customStyle="1" w:styleId="CommentTextChar">
    <w:name w:val="Comment Text Char"/>
    <w:basedOn w:val="DefaultParagraphFont"/>
    <w:link w:val="CommentText"/>
    <w:uiPriority w:val="99"/>
    <w:semiHidden/>
    <w:rsid w:val="00EF642D"/>
    <w:rPr>
      <w:sz w:val="20"/>
      <w:szCs w:val="20"/>
    </w:rPr>
  </w:style>
  <w:style w:type="paragraph" w:styleId="BodyText">
    <w:name w:val="Body Text"/>
    <w:basedOn w:val="Normal"/>
    <w:link w:val="BodyTextChar"/>
    <w:uiPriority w:val="1"/>
    <w:qFormat/>
    <w:rsid w:val="00EF642D"/>
    <w:pPr>
      <w:widowControl w:val="0"/>
      <w:autoSpaceDE w:val="0"/>
      <w:autoSpaceDN w:val="0"/>
      <w:spacing w:after="0" w:line="240" w:lineRule="auto"/>
    </w:pPr>
    <w:rPr>
      <w:rFonts w:ascii="Tahoma" w:eastAsia="Tahoma" w:hAnsi="Tahoma" w:cs="Tahoma"/>
      <w:sz w:val="18"/>
      <w:szCs w:val="18"/>
      <w:lang w:eastAsia="en-GB" w:bidi="en-GB"/>
    </w:rPr>
  </w:style>
  <w:style w:type="character" w:customStyle="1" w:styleId="BodyTextChar">
    <w:name w:val="Body Text Char"/>
    <w:basedOn w:val="DefaultParagraphFont"/>
    <w:link w:val="BodyText"/>
    <w:uiPriority w:val="1"/>
    <w:rsid w:val="00EF642D"/>
    <w:rPr>
      <w:rFonts w:ascii="Tahoma" w:eastAsia="Tahoma" w:hAnsi="Tahoma" w:cs="Tahoma"/>
      <w:sz w:val="18"/>
      <w:szCs w:val="18"/>
      <w:lang w:eastAsia="en-GB" w:bidi="en-GB"/>
    </w:rPr>
  </w:style>
  <w:style w:type="character" w:styleId="Hyperlink">
    <w:name w:val="Hyperlink"/>
    <w:rsid w:val="00EF642D"/>
    <w:rPr>
      <w:color w:val="0000FF"/>
      <w:u w:val="single"/>
    </w:rPr>
  </w:style>
  <w:style w:type="character" w:styleId="FollowedHyperlink">
    <w:name w:val="FollowedHyperlink"/>
    <w:basedOn w:val="DefaultParagraphFont"/>
    <w:uiPriority w:val="99"/>
    <w:semiHidden/>
    <w:unhideWhenUsed/>
    <w:rsid w:val="002A2831"/>
    <w:rPr>
      <w:color w:val="954F72" w:themeColor="followedHyperlink"/>
      <w:u w:val="single"/>
    </w:rPr>
  </w:style>
  <w:style w:type="table" w:styleId="TableGrid">
    <w:name w:val="Table Grid"/>
    <w:basedOn w:val="TableNormal"/>
    <w:uiPriority w:val="59"/>
    <w:rsid w:val="00087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rple8">
    <w:name w:val="purple8"/>
    <w:basedOn w:val="DefaultParagraphFont"/>
    <w:rsid w:val="00805BAA"/>
  </w:style>
  <w:style w:type="character" w:styleId="UnresolvedMention">
    <w:name w:val="Unresolved Mention"/>
    <w:basedOn w:val="DefaultParagraphFont"/>
    <w:uiPriority w:val="99"/>
    <w:semiHidden/>
    <w:unhideWhenUsed/>
    <w:rsid w:val="00DD3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ncrafttrust.org/resources/what-is-safeguarding/" TargetMode="External"/><Relationship Id="rId13" Type="http://schemas.openxmlformats.org/officeDocument/2006/relationships/hyperlink" Target="https://learning.nspcc.org.uk/research-resources/2019/safeguarding-child-protection-standards" TargetMode="External"/><Relationship Id="rId18" Type="http://schemas.openxmlformats.org/officeDocument/2006/relationships/hyperlink" Target="https://www.anncrafttrust.org/resources/a-video-introduction-to-safeguarding-adults-in-spor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anncrafttrust.org/safeguarding-adults-sport-activity/" TargetMode="External"/><Relationship Id="rId7" Type="http://schemas.openxmlformats.org/officeDocument/2006/relationships/image" Target="media/image1.jpeg"/><Relationship Id="rId12" Type="http://schemas.openxmlformats.org/officeDocument/2006/relationships/hyperlink" Target="https://learning.nspcc.org.uk/safeguarding-child-protection/writing-a-safeguarding-policy-statement" TargetMode="External"/><Relationship Id="rId17" Type="http://schemas.openxmlformats.org/officeDocument/2006/relationships/hyperlink" Target="https://www.anncrafttrust.org/resources/what-is-safeguardin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nncrafttrust.org/resources/safeguarding-adults-policy-procedures-templates/" TargetMode="External"/><Relationship Id="rId20" Type="http://schemas.openxmlformats.org/officeDocument/2006/relationships/hyperlink" Target="https://learning.nspcc.org.uk/train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216900/Regulated-Activity-Adults-Dec-2012.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earning.nspcc.org.uk/research-resources/templates/example-safeguarding-policy-statement"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550197/Regulated_activity_in_relation_to_children.pdf" TargetMode="External"/><Relationship Id="rId19" Type="http://schemas.openxmlformats.org/officeDocument/2006/relationships/hyperlink" Target="https://www.youtube.com/watch?v=pCoUlhITzWM" TargetMode="External"/><Relationship Id="rId4" Type="http://schemas.openxmlformats.org/officeDocument/2006/relationships/webSettings" Target="webSettings.xml"/><Relationship Id="rId9" Type="http://schemas.openxmlformats.org/officeDocument/2006/relationships/hyperlink" Target="https://www.youtube.com/watch?v=pCoUlhITzWM" TargetMode="External"/><Relationship Id="rId14" Type="http://schemas.openxmlformats.org/officeDocument/2006/relationships/hyperlink" Target="https://www.anncrafttrust.org/resources/" TargetMode="External"/><Relationship Id="rId22" Type="http://schemas.openxmlformats.org/officeDocument/2006/relationships/hyperlink" Target="https://thecpsu.org.uk/training-events/choose-the-right-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1558</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Luke</dc:creator>
  <cp:keywords/>
  <dc:description/>
  <cp:lastModifiedBy>Rich Snaith</cp:lastModifiedBy>
  <cp:revision>2</cp:revision>
  <dcterms:created xsi:type="dcterms:W3CDTF">2024-03-19T10:27:00Z</dcterms:created>
  <dcterms:modified xsi:type="dcterms:W3CDTF">2024-03-19T10:27:00Z</dcterms:modified>
</cp:coreProperties>
</file>